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7" w:rsidRDefault="00643E47" w:rsidP="00C26798">
      <w:pPr>
        <w:pStyle w:val="Title"/>
        <w:tabs>
          <w:tab w:val="right" w:pos="9144"/>
        </w:tabs>
        <w:spacing w:after="0"/>
      </w:pPr>
      <w:r>
        <w:t>Business</w:t>
      </w:r>
      <w:r w:rsidR="00E120C7">
        <w:t>/Personal Law</w:t>
      </w:r>
      <w:r w:rsidR="00C26798">
        <w:tab/>
        <w:t>Mrs. Jacobson</w:t>
      </w:r>
    </w:p>
    <w:p w:rsidR="00653C19" w:rsidRPr="00387384" w:rsidRDefault="00653C19" w:rsidP="00387384">
      <w:pPr>
        <w:spacing w:after="0" w:line="240" w:lineRule="auto"/>
        <w:rPr>
          <w:sz w:val="24"/>
        </w:rPr>
      </w:pPr>
      <w:r w:rsidRPr="00DB749F">
        <w:rPr>
          <w:sz w:val="24"/>
        </w:rPr>
        <w:t xml:space="preserve">Students will </w:t>
      </w:r>
      <w:r w:rsidR="0012410E">
        <w:rPr>
          <w:sz w:val="24"/>
        </w:rPr>
        <w:t xml:space="preserve">learn </w:t>
      </w:r>
      <w:r w:rsidR="00643E47">
        <w:rPr>
          <w:sz w:val="24"/>
        </w:rPr>
        <w:t xml:space="preserve">about the many aspects of business.  Specific topics to be covered include:  </w:t>
      </w:r>
      <w:r w:rsidR="00387384" w:rsidRPr="00387384">
        <w:rPr>
          <w:sz w:val="24"/>
        </w:rPr>
        <w:t>Ethics, Morals, and the Law</w:t>
      </w:r>
      <w:r w:rsidR="00387384" w:rsidRPr="00387384">
        <w:rPr>
          <w:sz w:val="24"/>
        </w:rPr>
        <w:t xml:space="preserve">, Consumer Law, Tors (Civil Law), Criminal Law, Investigation and Trials (Juvenile and Adult Court), Family Law. </w:t>
      </w:r>
      <w:r w:rsidR="00643E47" w:rsidRPr="00387384">
        <w:rPr>
          <w:sz w:val="24"/>
        </w:rPr>
        <w:t>Other topics may be covered depending on student interest.</w:t>
      </w:r>
      <w:r w:rsidR="00387384">
        <w:rPr>
          <w:sz w:val="24"/>
        </w:rPr>
        <w:t xml:space="preserve"> Possible trips to Morrison County Court House for a tour and trial(s) are in the process of being planned.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902"/>
        <w:tblOverlap w:val="never"/>
        <w:tblW w:w="0" w:type="auto"/>
        <w:tblLook w:val="04A0" w:firstRow="1" w:lastRow="0" w:firstColumn="1" w:lastColumn="0" w:noHBand="0" w:noVBand="1"/>
      </w:tblPr>
      <w:tblGrid>
        <w:gridCol w:w="1541"/>
        <w:gridCol w:w="1457"/>
      </w:tblGrid>
      <w:tr w:rsidR="00E56E40" w:rsidRPr="00E3098C" w:rsidTr="00E56E40">
        <w:tc>
          <w:tcPr>
            <w:tcW w:w="1541" w:type="dxa"/>
            <w:vAlign w:val="center"/>
          </w:tcPr>
          <w:p w:rsidR="00E56E40" w:rsidRPr="00E3098C" w:rsidRDefault="00E56E40" w:rsidP="00E56E40">
            <w:pPr>
              <w:jc w:val="center"/>
              <w:rPr>
                <w:b/>
              </w:rPr>
            </w:pPr>
            <w:r w:rsidRPr="00E3098C">
              <w:rPr>
                <w:b/>
              </w:rPr>
              <w:t>Grading Scale</w:t>
            </w:r>
          </w:p>
        </w:tc>
        <w:tc>
          <w:tcPr>
            <w:tcW w:w="1457" w:type="dxa"/>
            <w:vAlign w:val="center"/>
          </w:tcPr>
          <w:p w:rsidR="00E56E40" w:rsidRPr="00E3098C" w:rsidRDefault="00E56E40" w:rsidP="00E56E40">
            <w:pPr>
              <w:jc w:val="center"/>
              <w:rPr>
                <w:b/>
              </w:rPr>
            </w:pPr>
            <w:r w:rsidRPr="00E3098C">
              <w:rPr>
                <w:b/>
              </w:rPr>
              <w:t>Letter Grade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DB749F" w:rsidP="00E56E40">
            <w:pPr>
              <w:jc w:val="center"/>
            </w:pPr>
            <w:r>
              <w:t>93</w:t>
            </w:r>
            <w:r w:rsidR="00E56E40">
              <w:t xml:space="preserve"> – 100%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A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DB749F">
            <w:pPr>
              <w:jc w:val="center"/>
            </w:pPr>
            <w:r>
              <w:t>90 – 9</w:t>
            </w:r>
            <w:r w:rsidR="00DB749F">
              <w:t>2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A-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DB749F">
            <w:pPr>
              <w:jc w:val="center"/>
            </w:pPr>
            <w:r>
              <w:t>8</w:t>
            </w:r>
            <w:r w:rsidR="00DB749F">
              <w:t>8</w:t>
            </w:r>
            <w:r>
              <w:t xml:space="preserve"> – 89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B+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DB749F">
            <w:pPr>
              <w:jc w:val="center"/>
            </w:pPr>
            <w:r>
              <w:t>83 – 8</w:t>
            </w:r>
            <w:r w:rsidR="00DB749F">
              <w:t>7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B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E56E40">
            <w:pPr>
              <w:jc w:val="center"/>
            </w:pPr>
            <w:r>
              <w:t>80 – 82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B-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DB749F">
            <w:pPr>
              <w:jc w:val="center"/>
            </w:pPr>
            <w:r>
              <w:t>7</w:t>
            </w:r>
            <w:r w:rsidR="00DB749F">
              <w:t>8</w:t>
            </w:r>
            <w:r>
              <w:t xml:space="preserve"> – 79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C+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DB749F">
            <w:pPr>
              <w:jc w:val="center"/>
            </w:pPr>
            <w:r>
              <w:t>73 – 7</w:t>
            </w:r>
            <w:r w:rsidR="00DB749F">
              <w:t>7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C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E56E40">
            <w:pPr>
              <w:jc w:val="center"/>
            </w:pPr>
            <w:r>
              <w:t>70 – 72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C-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DB749F">
            <w:pPr>
              <w:jc w:val="center"/>
            </w:pPr>
            <w:r>
              <w:t>6</w:t>
            </w:r>
            <w:r w:rsidR="00DB749F">
              <w:t>8</w:t>
            </w:r>
            <w:r>
              <w:t xml:space="preserve"> – 69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D+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DB749F">
            <w:pPr>
              <w:jc w:val="center"/>
            </w:pPr>
            <w:r>
              <w:t>63 – 6</w:t>
            </w:r>
            <w:r w:rsidR="00DB749F">
              <w:t>8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D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E56E40">
            <w:pPr>
              <w:jc w:val="center"/>
            </w:pPr>
            <w:r>
              <w:t>60 – 62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D-</w:t>
            </w:r>
          </w:p>
        </w:tc>
      </w:tr>
      <w:tr w:rsidR="00E56E40" w:rsidTr="00E56E40">
        <w:tc>
          <w:tcPr>
            <w:tcW w:w="1541" w:type="dxa"/>
            <w:vAlign w:val="center"/>
          </w:tcPr>
          <w:p w:rsidR="00E56E40" w:rsidRDefault="00E56E40" w:rsidP="00E56E40">
            <w:pPr>
              <w:jc w:val="center"/>
            </w:pPr>
            <w:r>
              <w:t>0 – 59</w:t>
            </w:r>
          </w:p>
        </w:tc>
        <w:tc>
          <w:tcPr>
            <w:tcW w:w="1457" w:type="dxa"/>
            <w:vAlign w:val="center"/>
          </w:tcPr>
          <w:p w:rsidR="00E56E40" w:rsidRDefault="00E56E40" w:rsidP="00C26798">
            <w:pPr>
              <w:jc w:val="center"/>
            </w:pPr>
            <w:r>
              <w:t>F</w:t>
            </w:r>
          </w:p>
        </w:tc>
      </w:tr>
    </w:tbl>
    <w:p w:rsidR="00B64AC2" w:rsidRDefault="00B64AC2" w:rsidP="00E56E40">
      <w:pPr>
        <w:pStyle w:val="Heading1"/>
      </w:pPr>
      <w:r>
        <w:t>Grading</w:t>
      </w:r>
    </w:p>
    <w:p w:rsidR="00B64AC2" w:rsidRPr="00DB749F" w:rsidRDefault="006E3DED" w:rsidP="00E56E40">
      <w:pPr>
        <w:spacing w:after="0"/>
        <w:rPr>
          <w:sz w:val="24"/>
        </w:rPr>
      </w:pPr>
      <w:r>
        <w:rPr>
          <w:sz w:val="24"/>
        </w:rPr>
        <w:t>Formative and summative grading will be used in this class.  Daily assignments are con</w:t>
      </w:r>
      <w:r w:rsidR="00C26798">
        <w:rPr>
          <w:sz w:val="24"/>
        </w:rPr>
        <w:t xml:space="preserve">sidered formative assignments. </w:t>
      </w:r>
      <w:r>
        <w:rPr>
          <w:sz w:val="24"/>
        </w:rPr>
        <w:t xml:space="preserve">Tests are considered summative assignments.  Summative assignments </w:t>
      </w:r>
      <w:r w:rsidR="00C26798">
        <w:rPr>
          <w:sz w:val="24"/>
        </w:rPr>
        <w:t xml:space="preserve">with a grade lower than 80% </w:t>
      </w:r>
      <w:r>
        <w:rPr>
          <w:sz w:val="24"/>
        </w:rPr>
        <w:t>can be reworked</w:t>
      </w:r>
      <w:r w:rsidR="00C26798">
        <w:rPr>
          <w:sz w:val="24"/>
        </w:rPr>
        <w:t xml:space="preserve"> for a better grade</w:t>
      </w:r>
      <w:r>
        <w:rPr>
          <w:sz w:val="24"/>
        </w:rPr>
        <w:t>.  Final g</w:t>
      </w:r>
      <w:r w:rsidR="00B64AC2" w:rsidRPr="00DB749F">
        <w:rPr>
          <w:sz w:val="24"/>
        </w:rPr>
        <w:t xml:space="preserve">rades </w:t>
      </w:r>
      <w:r>
        <w:rPr>
          <w:sz w:val="24"/>
        </w:rPr>
        <w:t>will be</w:t>
      </w:r>
      <w:r w:rsidR="00B64AC2" w:rsidRPr="00DB749F">
        <w:rPr>
          <w:sz w:val="24"/>
        </w:rPr>
        <w:t xml:space="preserve"> based on total points for all assignments and tests.  </w:t>
      </w:r>
      <w:r w:rsidR="00DB749F" w:rsidRPr="00DB749F">
        <w:rPr>
          <w:sz w:val="24"/>
        </w:rPr>
        <w:t>A straight point grading system will be used (no weighting).</w:t>
      </w:r>
    </w:p>
    <w:p w:rsidR="00653C19" w:rsidRDefault="00653C19" w:rsidP="00E56E40">
      <w:pPr>
        <w:pStyle w:val="Heading1"/>
      </w:pPr>
      <w:r>
        <w:t>Daily Assignments</w:t>
      </w:r>
    </w:p>
    <w:p w:rsidR="00653C19" w:rsidRDefault="00653C19" w:rsidP="00E56E40">
      <w:pPr>
        <w:spacing w:after="0"/>
        <w:rPr>
          <w:b/>
          <w:i/>
          <w:sz w:val="24"/>
        </w:rPr>
      </w:pPr>
      <w:r w:rsidRPr="00DB749F">
        <w:rPr>
          <w:sz w:val="24"/>
        </w:rPr>
        <w:t xml:space="preserve">Daily assignments will consist of </w:t>
      </w:r>
      <w:r w:rsidR="006E3DED">
        <w:rPr>
          <w:sz w:val="24"/>
        </w:rPr>
        <w:t xml:space="preserve">small projects to </w:t>
      </w:r>
      <w:r w:rsidR="00643E47">
        <w:rPr>
          <w:sz w:val="24"/>
        </w:rPr>
        <w:t>fit each unit</w:t>
      </w:r>
      <w:r w:rsidR="006E3DED">
        <w:rPr>
          <w:sz w:val="24"/>
        </w:rPr>
        <w:t>.  After each unit a cumulative test</w:t>
      </w:r>
      <w:r w:rsidR="00C26798">
        <w:rPr>
          <w:sz w:val="24"/>
        </w:rPr>
        <w:t>/project</w:t>
      </w:r>
      <w:r w:rsidR="006E3DED">
        <w:rPr>
          <w:sz w:val="24"/>
        </w:rPr>
        <w:t xml:space="preserve"> will be given for that unit.  </w:t>
      </w:r>
      <w:r w:rsidRPr="00DB749F">
        <w:rPr>
          <w:b/>
          <w:i/>
          <w:sz w:val="24"/>
        </w:rPr>
        <w:t>Cheating is not permitted.  Students will receive a zero on the assignment if caught cheating.</w:t>
      </w:r>
    </w:p>
    <w:p w:rsidR="00387384" w:rsidRPr="00387384" w:rsidRDefault="00387384" w:rsidP="00387384">
      <w:pPr>
        <w:rPr>
          <w:sz w:val="24"/>
        </w:rPr>
      </w:pPr>
      <w:r w:rsidRPr="00387384">
        <w:rPr>
          <w:sz w:val="24"/>
        </w:rPr>
        <w:t>*If you are not in class, it is your responsibility to find out what you missed upon your return to school.  You will be given 2 days to turn in any work missed due to an EXCUSED absence.  Work missed due to UNEXCUSED</w:t>
      </w:r>
      <w:r>
        <w:rPr>
          <w:sz w:val="24"/>
        </w:rPr>
        <w:t xml:space="preserve"> absences will not be accepted.</w:t>
      </w:r>
    </w:p>
    <w:p w:rsidR="00653C19" w:rsidRDefault="00653C19" w:rsidP="00E56E40">
      <w:pPr>
        <w:pStyle w:val="Heading1"/>
      </w:pPr>
      <w:r>
        <w:t>Late Work</w:t>
      </w:r>
    </w:p>
    <w:p w:rsidR="00653C19" w:rsidRPr="00DB749F" w:rsidRDefault="00653C19" w:rsidP="00E56E40">
      <w:pPr>
        <w:spacing w:after="0"/>
        <w:rPr>
          <w:b/>
          <w:sz w:val="24"/>
        </w:rPr>
      </w:pPr>
      <w:r w:rsidRPr="00DB749F">
        <w:rPr>
          <w:sz w:val="24"/>
        </w:rPr>
        <w:t xml:space="preserve">All tests must be taken within </w:t>
      </w:r>
      <w:r w:rsidRPr="00DB749F">
        <w:rPr>
          <w:sz w:val="24"/>
          <w:u w:val="single"/>
        </w:rPr>
        <w:t>five days of the test date</w:t>
      </w:r>
      <w:r w:rsidRPr="00DB749F">
        <w:rPr>
          <w:sz w:val="24"/>
        </w:rPr>
        <w:t xml:space="preserve"> if a student is absent. </w:t>
      </w:r>
      <w:r w:rsidR="00E120C7">
        <w:rPr>
          <w:sz w:val="24"/>
        </w:rPr>
        <w:t xml:space="preserve">Re-take tests MUST be retaken within 7 days of having the test handed back to them. </w:t>
      </w:r>
    </w:p>
    <w:p w:rsidR="00E3098C" w:rsidRDefault="00E3098C" w:rsidP="00E56E40">
      <w:pPr>
        <w:pStyle w:val="Heading1"/>
      </w:pPr>
      <w:r>
        <w:t>Classroom Rules</w:t>
      </w:r>
    </w:p>
    <w:p w:rsidR="00E3098C" w:rsidRPr="00E3098C" w:rsidRDefault="00E3098C" w:rsidP="00E56E4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3098C">
        <w:rPr>
          <w:sz w:val="24"/>
        </w:rPr>
        <w:t>NO candy, food, or pop in classroom</w:t>
      </w:r>
    </w:p>
    <w:p w:rsidR="00E3098C" w:rsidRPr="00E3098C" w:rsidRDefault="00E3098C" w:rsidP="00E56E4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3098C">
        <w:rPr>
          <w:sz w:val="24"/>
        </w:rPr>
        <w:t>Use of personal headphones and/or cell phones is not permitted during lecture</w:t>
      </w:r>
    </w:p>
    <w:p w:rsidR="00E3098C" w:rsidRPr="0065130B" w:rsidRDefault="00197DE3" w:rsidP="0065130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Come to class prepared</w:t>
      </w:r>
    </w:p>
    <w:sectPr w:rsidR="00E3098C" w:rsidRPr="0065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FB9"/>
    <w:multiLevelType w:val="hybridMultilevel"/>
    <w:tmpl w:val="0324E294"/>
    <w:lvl w:ilvl="0" w:tplc="2636402A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75F03"/>
    <w:multiLevelType w:val="hybridMultilevel"/>
    <w:tmpl w:val="E698087C"/>
    <w:lvl w:ilvl="0" w:tplc="ABB6E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9"/>
    <w:rsid w:val="0012410E"/>
    <w:rsid w:val="00197DE3"/>
    <w:rsid w:val="0021595B"/>
    <w:rsid w:val="0022603A"/>
    <w:rsid w:val="00387384"/>
    <w:rsid w:val="00643E47"/>
    <w:rsid w:val="0065130B"/>
    <w:rsid w:val="00653C19"/>
    <w:rsid w:val="006E3DED"/>
    <w:rsid w:val="009F7927"/>
    <w:rsid w:val="00AD7190"/>
    <w:rsid w:val="00B64AC2"/>
    <w:rsid w:val="00C26798"/>
    <w:rsid w:val="00C344CD"/>
    <w:rsid w:val="00DB749F"/>
    <w:rsid w:val="00E120C7"/>
    <w:rsid w:val="00E3098C"/>
    <w:rsid w:val="00E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098C"/>
    <w:pPr>
      <w:ind w:left="720"/>
      <w:contextualSpacing/>
    </w:pPr>
  </w:style>
  <w:style w:type="table" w:styleId="TableGrid">
    <w:name w:val="Table Grid"/>
    <w:basedOn w:val="TableNormal"/>
    <w:uiPriority w:val="59"/>
    <w:rsid w:val="00E3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098C"/>
    <w:pPr>
      <w:ind w:left="720"/>
      <w:contextualSpacing/>
    </w:pPr>
  </w:style>
  <w:style w:type="table" w:styleId="TableGrid">
    <w:name w:val="Table Grid"/>
    <w:basedOn w:val="TableNormal"/>
    <w:uiPriority w:val="59"/>
    <w:rsid w:val="00E3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Burg</dc:creator>
  <cp:lastModifiedBy>Mara Jacobson</cp:lastModifiedBy>
  <cp:revision>2</cp:revision>
  <cp:lastPrinted>2012-08-29T19:41:00Z</cp:lastPrinted>
  <dcterms:created xsi:type="dcterms:W3CDTF">2015-03-29T18:55:00Z</dcterms:created>
  <dcterms:modified xsi:type="dcterms:W3CDTF">2015-03-29T18:55:00Z</dcterms:modified>
</cp:coreProperties>
</file>